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What must be done?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Support core human rights agenda</w:t>
      </w:r>
    </w:p>
    <w:p>
      <w:pPr>
        <w:spacing w:before="0" w:after="200" w:line="276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Ensure well-organized &amp; effective human rights groups (and individual activists) have financial and legal support</w:t>
      </w:r>
    </w:p>
    <w:p>
      <w:pPr>
        <w:spacing w:before="0" w:after="200" w:line="276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Security</w:t>
      </w:r>
    </w:p>
    <w:p>
      <w:pPr>
        <w:spacing w:before="0" w:after="200" w:line="276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Maintain a flexible approach, depending on how new laws will be implemented</w:t>
      </w:r>
    </w:p>
    <w:p>
      <w:pPr>
        <w:spacing w:before="0" w:after="200" w:line="276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Fund those orgs that have no chance of getting state money (e.g. LGBT)</w:t>
      </w:r>
    </w:p>
    <w:p>
      <w:pPr>
        <w:spacing w:before="0" w:after="200" w:line="276"/>
        <w:ind w:right="0" w:left="108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Maintain “base tier” of essential groups (core funding), without whom the third sector could not effectively function, and then provide project funding for expert groups on particular themes; enable the work of independent activists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Responding to the “worst-case scenario”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Continued monitoring and follow-up on procedural implementation of the laws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Could the Solidarity Platform be a structure to put aside funds from all our programs for potential of negative outcomes in the near future?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Other international examples we can learn from?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</w:t>
        <w:tab/>
        <w:tab/>
        <w:tab/>
        <w:t xml:space="preserve">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Closed Societies Working Group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What are our obligations to targeted groups?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Enable self-organization and self-mobilization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        Enable the work of independent activists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Platforms for organization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– physical and virtual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Legal support and security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Don’t force them into organizing into an NGO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Do “graduates” of programs like YHRM and HRRC schools need seed funding?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Know-how and resources for those that want to engage in activism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Peer learning from those who already have the skills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Encourage pre-political activity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Citizen interest in “ordinary” issues (fix my street etc.)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CAVEAT: Young activist groups are actually the ones that are often at odds with and threatening to minorities/marginalized populations. Local activism can draw upon themes of national and Russian exceptionalism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Integrate Russia into global debates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Address Russian detachment from international political realities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Provide a wider platform for Russian voices on issues beyond Russia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Link with colleagues who work in fSU region AND look beyond the fSU (for example, growing conservatism in Europe – parallels on some issues)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Potential topics: Internet freedom, global warming, …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0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Advocacy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International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Pressure on Russian officials has more impact from Europe than from the US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Germany has been tightening its stance on Russia; Poland’s growing weight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Council of Europe (other “closing”/closed countries also members)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Russia’s new membership in WTO (push rule of law or corruption work?)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Link with Eurasian partners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Domestic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Local government (post-Medvedev opportunities – political parties; election of governors); potential for change at the very local (village!) level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Training on basic skills, followed by support for specific projects/campaigns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6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Capacity building and strengthening the third sector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Fundraising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Increasing organizations’ fundraising skills, esp. domestic fundraising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Supporting resource centers that assist NGOs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Getting more EU money to Russian partners (difficult application process)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Influencing other donors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Enabling a culture of philanthropy (still at low levels – no tax breaks for donations – but evolving) - CAF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Security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Addressing threats to activists and organizations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Physical security, digital security, executive security – tying security to the org’s mission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Link to OSF-wide initiate on security (Elizabeth &amp; Vera)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Networks/coalitions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Bring together actors, alliances from different spheres (ie, Navalny &amp; PHP)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Maintain links between groups, in the face of state attempts to divide the sector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Public outreach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Improve NGOs’ reputation within society, raise public appeal (state less likely to target groups with popular support) – Agency for Social Information does this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Engaging business communities and others outside of traditional HR circles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Changing attitudes, inculcate inclusivity (caveat: we are not Madison Avenue)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Increasing org transparency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Governance structure and diversifying boards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Financial and human resources management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3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Themes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Political prisoners (Bolotnaya, etc.)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Media censorship and control (pressure in independent media – work w/ NMP)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Surveillance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LGBT (push against propaganda laws, which are driven by local officials, not by the federal gov’t)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Women’s rights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Disability rights and inclusive education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Prisons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Lots of funding is going to monitoring; where is our money best placed?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ONKs don’t have sufficient $ for travel and legal representation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Policing and police violence (Public Verdict, Man and Law, etc.)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Migrants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Transparency and accountability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State spending – monitoring, analysis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Tracking cross-border transactions and business purchases</w:t>
      </w:r>
    </w:p>
    <w:p>
      <w:pPr>
        <w:spacing w:before="0" w:after="200" w:line="276"/>
        <w:ind w:right="0" w:left="144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2"/>
          <w:shd w:fill="auto" w:val="clear"/>
        </w:rPr>
        <w:t xml:space="preserve">            Connections between accountability, human rights, and ordinary citizens’ interests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3">
    <w:abstractNumId w:val="36"/>
  </w:num>
  <w:num w:numId="6">
    <w:abstractNumId w:val="30"/>
  </w:num>
  <w:num w:numId="9">
    <w:abstractNumId w:val="24"/>
  </w:num>
  <w:num w:numId="17">
    <w:abstractNumId w:val="18"/>
  </w:num>
  <w:num w:numId="20">
    <w:abstractNumId w:val="12"/>
  </w:num>
  <w:num w:numId="26">
    <w:abstractNumId w:val="6"/>
  </w:num>
  <w:num w:numId="3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